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1507E" w14:textId="77777777" w:rsidR="00DD4A63" w:rsidRPr="00DD4A63" w:rsidRDefault="00DD4A63" w:rsidP="00DD4A63">
      <w:pPr>
        <w:jc w:val="both"/>
        <w:rPr>
          <w:rFonts w:ascii="Times New Roman" w:hAnsi="Times New Roman" w:cs="Times New Roman"/>
        </w:rPr>
      </w:pPr>
      <w:r w:rsidRPr="00DD4A63">
        <w:rPr>
          <w:rFonts w:ascii="Times New Roman" w:hAnsi="Times New Roman" w:cs="Times New Roman"/>
          <w:b/>
          <w:bCs/>
        </w:rPr>
        <w:t>ACUERDO SOBRE DIMENSIONES DE VEHÍCULOS DE TRANSPORTE POR CARRETERA DE PASAJEROS Y CARGAS</w:t>
      </w:r>
    </w:p>
    <w:p w14:paraId="3769AC85" w14:textId="77777777" w:rsidR="00DD4A63" w:rsidRPr="00DD4A63" w:rsidRDefault="00DD4A63" w:rsidP="00DD4A63">
      <w:pPr>
        <w:jc w:val="both"/>
        <w:rPr>
          <w:rFonts w:ascii="Times New Roman" w:hAnsi="Times New Roman" w:cs="Times New Roman"/>
        </w:rPr>
      </w:pPr>
      <w:r w:rsidRPr="00DD4A63">
        <w:rPr>
          <w:rFonts w:ascii="Times New Roman" w:hAnsi="Times New Roman" w:cs="Times New Roman"/>
          <w:b/>
          <w:bCs/>
        </w:rPr>
        <w:t>VISTO:</w:t>
      </w:r>
      <w:r w:rsidRPr="00DD4A63">
        <w:rPr>
          <w:rFonts w:ascii="Times New Roman" w:hAnsi="Times New Roman" w:cs="Times New Roman"/>
        </w:rPr>
        <w:t> El Tratado de Asunción, el Protocolo de Ouro Preto y la Resolución Nº 65/08 del Grupo Mercado Común.</w:t>
      </w:r>
    </w:p>
    <w:p w14:paraId="6C0C2D60" w14:textId="77777777" w:rsidR="00DD4A63" w:rsidRPr="00DD4A63" w:rsidRDefault="00DD4A63" w:rsidP="00DD4A63">
      <w:pPr>
        <w:jc w:val="both"/>
        <w:rPr>
          <w:rFonts w:ascii="Times New Roman" w:hAnsi="Times New Roman" w:cs="Times New Roman"/>
        </w:rPr>
      </w:pPr>
      <w:r w:rsidRPr="00DD4A63">
        <w:rPr>
          <w:rFonts w:ascii="Times New Roman" w:hAnsi="Times New Roman" w:cs="Times New Roman"/>
          <w:b/>
          <w:bCs/>
        </w:rPr>
        <w:t>CONSIDERANDO:</w:t>
      </w:r>
    </w:p>
    <w:p w14:paraId="2A35AB85" w14:textId="77777777" w:rsidR="00DD4A63" w:rsidRPr="00DD4A63" w:rsidRDefault="00DD4A63" w:rsidP="00DD4A63">
      <w:pPr>
        <w:jc w:val="both"/>
        <w:rPr>
          <w:rFonts w:ascii="Times New Roman" w:hAnsi="Times New Roman" w:cs="Times New Roman"/>
        </w:rPr>
      </w:pPr>
      <w:r w:rsidRPr="00DD4A63">
        <w:rPr>
          <w:rFonts w:ascii="Times New Roman" w:hAnsi="Times New Roman" w:cs="Times New Roman"/>
        </w:rPr>
        <w:t>Que es conveniente actualizar el mencionado Acuerdo en lo que respecta a las dimensiones de los vehículos de carga y pasajeros, a fin de adecuar sus disposiciones a la evolución técnica;</w:t>
      </w:r>
    </w:p>
    <w:p w14:paraId="6801D9AB" w14:textId="77777777" w:rsidR="00DD4A63" w:rsidRPr="00DD4A63" w:rsidRDefault="00DD4A63" w:rsidP="00DD4A63">
      <w:pPr>
        <w:jc w:val="both"/>
        <w:rPr>
          <w:rFonts w:ascii="Times New Roman" w:hAnsi="Times New Roman" w:cs="Times New Roman"/>
        </w:rPr>
      </w:pPr>
      <w:r w:rsidRPr="00DD4A63">
        <w:rPr>
          <w:rFonts w:ascii="Times New Roman" w:hAnsi="Times New Roman" w:cs="Times New Roman"/>
        </w:rPr>
        <w:t>Que la presente norma busca establecer un equilibrio racional entre los parámetros actualmente utilizados en cada país miembro, a fin de minimizar el impacto técnico y económico de la presente armonización.</w:t>
      </w:r>
    </w:p>
    <w:p w14:paraId="2A08527C" w14:textId="77777777" w:rsidR="00DD4A63" w:rsidRPr="00DD4A63" w:rsidRDefault="00DD4A63" w:rsidP="00DD4A63">
      <w:pPr>
        <w:jc w:val="both"/>
        <w:rPr>
          <w:rFonts w:ascii="Times New Roman" w:hAnsi="Times New Roman" w:cs="Times New Roman"/>
        </w:rPr>
      </w:pPr>
      <w:r w:rsidRPr="00DD4A63">
        <w:rPr>
          <w:rFonts w:ascii="Times New Roman" w:hAnsi="Times New Roman" w:cs="Times New Roman"/>
          <w:b/>
          <w:bCs/>
        </w:rPr>
        <w:t>EL GRUPO MERCADO COMÚN RESUELVE:</w:t>
      </w:r>
    </w:p>
    <w:p w14:paraId="1C511EF7" w14:textId="77777777" w:rsidR="00DD4A63" w:rsidRPr="00DD4A63" w:rsidRDefault="00DD4A63" w:rsidP="00DD4A63">
      <w:pPr>
        <w:jc w:val="both"/>
        <w:rPr>
          <w:rFonts w:ascii="Times New Roman" w:hAnsi="Times New Roman" w:cs="Times New Roman"/>
        </w:rPr>
      </w:pPr>
      <w:r w:rsidRPr="00DD4A63">
        <w:rPr>
          <w:rFonts w:ascii="Times New Roman" w:hAnsi="Times New Roman" w:cs="Times New Roman"/>
          <w:b/>
          <w:bCs/>
        </w:rPr>
        <w:t>Art. 1º</w:t>
      </w:r>
      <w:r w:rsidRPr="00DD4A63">
        <w:rPr>
          <w:rFonts w:ascii="Times New Roman" w:hAnsi="Times New Roman" w:cs="Times New Roman"/>
        </w:rPr>
        <w:t> – Aprobar el "Acuerdo sobre Dimensiones para Vehículos de Transporte por Carretera de Pasajeros y Cargas", que figura como Anexo y forma parte de la presente Resolución.</w:t>
      </w:r>
    </w:p>
    <w:p w14:paraId="6F1D9AE2" w14:textId="77777777" w:rsidR="00DD4A63" w:rsidRPr="00DD4A63" w:rsidRDefault="00DD4A63" w:rsidP="00DD4A63">
      <w:pPr>
        <w:jc w:val="both"/>
        <w:rPr>
          <w:rFonts w:ascii="Times New Roman" w:hAnsi="Times New Roman" w:cs="Times New Roman"/>
        </w:rPr>
      </w:pPr>
      <w:r w:rsidRPr="00DD4A63">
        <w:rPr>
          <w:rFonts w:ascii="Times New Roman" w:hAnsi="Times New Roman" w:cs="Times New Roman"/>
          <w:b/>
          <w:bCs/>
        </w:rPr>
        <w:t>Art. 2º</w:t>
      </w:r>
      <w:r w:rsidRPr="00DD4A63">
        <w:rPr>
          <w:rFonts w:ascii="Times New Roman" w:hAnsi="Times New Roman" w:cs="Times New Roman"/>
        </w:rPr>
        <w:t> – Solicitar a los Estados Partes que instruyan a sus respectivas Representaciones ante la Asociación Latinoamericana de Integración (ALADI) a protocolizar el texto aprobado en la presente Resolución en forma de Acuerdo de Alcance Parcial en el ámbito del Tratado de Montevideo de 1980, incluyendo una cláusula de vigencia en los términos del Artículo 2º del Anexo I de la Resolución GMC Nº 43/03.</w:t>
      </w:r>
    </w:p>
    <w:p w14:paraId="5DCBAFEF" w14:textId="77777777" w:rsidR="00DD4A63" w:rsidRPr="00DD4A63" w:rsidRDefault="00DD4A63" w:rsidP="00DD4A63">
      <w:pPr>
        <w:jc w:val="both"/>
        <w:rPr>
          <w:rFonts w:ascii="Times New Roman" w:hAnsi="Times New Roman" w:cs="Times New Roman"/>
        </w:rPr>
      </w:pPr>
      <w:r w:rsidRPr="00DD4A63">
        <w:rPr>
          <w:rFonts w:ascii="Times New Roman" w:hAnsi="Times New Roman" w:cs="Times New Roman"/>
          <w:b/>
          <w:bCs/>
        </w:rPr>
        <w:t>Art. 3º</w:t>
      </w:r>
      <w:r w:rsidRPr="00DD4A63">
        <w:rPr>
          <w:rFonts w:ascii="Times New Roman" w:hAnsi="Times New Roman" w:cs="Times New Roman"/>
        </w:rPr>
        <w:t> – Modificar la Resolución GMC Nº 65/08.</w:t>
      </w:r>
    </w:p>
    <w:p w14:paraId="6A2949F3" w14:textId="77777777" w:rsidR="00DD4A63" w:rsidRDefault="00DD4A63" w:rsidP="00DD4A63">
      <w:pPr>
        <w:jc w:val="both"/>
        <w:rPr>
          <w:rFonts w:ascii="Times New Roman" w:hAnsi="Times New Roman" w:cs="Times New Roman"/>
        </w:rPr>
      </w:pPr>
      <w:r w:rsidRPr="00DD4A63">
        <w:rPr>
          <w:rFonts w:ascii="Times New Roman" w:hAnsi="Times New Roman" w:cs="Times New Roman"/>
          <w:b/>
          <w:bCs/>
        </w:rPr>
        <w:t>Art. 4º</w:t>
      </w:r>
      <w:r w:rsidRPr="00DD4A63">
        <w:rPr>
          <w:rFonts w:ascii="Times New Roman" w:hAnsi="Times New Roman" w:cs="Times New Roman"/>
        </w:rPr>
        <w:t> – Los Estados Partes deberán incorporar la presente Resolución a sus ordenamientos jurídicos internos antes del XX/XX/XXXX.</w:t>
      </w:r>
    </w:p>
    <w:p w14:paraId="57FD4CC6" w14:textId="66B68414" w:rsidR="0036553D" w:rsidRPr="00DD4A63" w:rsidRDefault="0036553D" w:rsidP="00DD4A63">
      <w:pPr>
        <w:jc w:val="both"/>
        <w:rPr>
          <w:rFonts w:ascii="Times New Roman" w:hAnsi="Times New Roman" w:cs="Times New Roman"/>
        </w:rPr>
      </w:pPr>
      <w:r>
        <w:rPr>
          <w:rFonts w:ascii="Times New Roman" w:hAnsi="Times New Roman" w:cs="Times New Roman"/>
        </w:rPr>
        <w:t>______________________________________________________________________</w:t>
      </w:r>
    </w:p>
    <w:p w14:paraId="4D06DF38" w14:textId="77777777" w:rsidR="00DD4A63" w:rsidRPr="00DD4A63" w:rsidRDefault="00DD4A63" w:rsidP="00DD4A63">
      <w:pPr>
        <w:jc w:val="both"/>
        <w:rPr>
          <w:rFonts w:ascii="Times New Roman" w:hAnsi="Times New Roman" w:cs="Times New Roman"/>
        </w:rPr>
      </w:pPr>
      <w:r w:rsidRPr="00DD4A63">
        <w:rPr>
          <w:rFonts w:ascii="Times New Roman" w:hAnsi="Times New Roman" w:cs="Times New Roman"/>
          <w:b/>
          <w:bCs/>
        </w:rPr>
        <w:t>ANEXO</w:t>
      </w:r>
    </w:p>
    <w:p w14:paraId="1BAE4F6C" w14:textId="77777777" w:rsidR="00DD4A63" w:rsidRPr="00DD4A63" w:rsidRDefault="00DD4A63" w:rsidP="00DD4A63">
      <w:pPr>
        <w:jc w:val="both"/>
        <w:rPr>
          <w:rFonts w:ascii="Times New Roman" w:hAnsi="Times New Roman" w:cs="Times New Roman"/>
        </w:rPr>
      </w:pPr>
      <w:r w:rsidRPr="00DD4A63">
        <w:rPr>
          <w:rFonts w:ascii="Times New Roman" w:hAnsi="Times New Roman" w:cs="Times New Roman"/>
          <w:b/>
          <w:bCs/>
        </w:rPr>
        <w:t>ACUERDO SOBRE DIMENSIONES DE VEHÍCULOS DE TRANSPORTE POR CARRETERA DE PASAJEROS Y CARGAS</w:t>
      </w:r>
    </w:p>
    <w:p w14:paraId="649A5AEA" w14:textId="4179C2FB" w:rsidR="00375704" w:rsidRDefault="00DD4A63" w:rsidP="00DD4A63">
      <w:pPr>
        <w:jc w:val="both"/>
        <w:rPr>
          <w:rFonts w:ascii="Times New Roman" w:hAnsi="Times New Roman" w:cs="Times New Roman"/>
        </w:rPr>
      </w:pPr>
      <w:r w:rsidRPr="00DD4A63">
        <w:rPr>
          <w:rFonts w:ascii="Times New Roman" w:hAnsi="Times New Roman" w:cs="Times New Roman"/>
          <w:b/>
          <w:bCs/>
        </w:rPr>
        <w:t>Artículo 1º</w:t>
      </w:r>
      <w:r w:rsidRPr="00DD4A63">
        <w:rPr>
          <w:rFonts w:ascii="Times New Roman" w:hAnsi="Times New Roman" w:cs="Times New Roman"/>
        </w:rPr>
        <w:t xml:space="preserve"> – </w:t>
      </w:r>
      <w:r w:rsidR="00375704" w:rsidRPr="00375704">
        <w:rPr>
          <w:rFonts w:ascii="Times New Roman" w:hAnsi="Times New Roman" w:cs="Times New Roman"/>
        </w:rPr>
        <w:t>Fíjense las dimensiones a ser aplicadas a la flota vehicular de los Estados Parte que realizan transporte internacional de cargas y pasajeros.</w:t>
      </w:r>
    </w:p>
    <w:p w14:paraId="34B6CBAC" w14:textId="77777777" w:rsidR="00375704" w:rsidRPr="00DD4A63" w:rsidRDefault="00375704" w:rsidP="00DD4A63">
      <w:pPr>
        <w:jc w:val="both"/>
        <w:rPr>
          <w:rFonts w:ascii="Times New Roman" w:hAnsi="Times New Roman" w:cs="Times New Roman"/>
        </w:rPr>
      </w:pPr>
    </w:p>
    <w:p w14:paraId="1D190501" w14:textId="309396E9" w:rsidR="00DD4A63" w:rsidRPr="00DD4A63" w:rsidRDefault="00DD4A63" w:rsidP="00DD4A63">
      <w:pPr>
        <w:jc w:val="both"/>
        <w:rPr>
          <w:rFonts w:ascii="Times New Roman" w:hAnsi="Times New Roman" w:cs="Times New Roman"/>
        </w:rPr>
      </w:pPr>
      <w:r w:rsidRPr="00DD4A63">
        <w:rPr>
          <w:rFonts w:ascii="Times New Roman" w:hAnsi="Times New Roman" w:cs="Times New Roman"/>
          <w:b/>
          <w:bCs/>
        </w:rPr>
        <w:t>Artículo 2º</w:t>
      </w:r>
      <w:r w:rsidRPr="00DD4A63">
        <w:rPr>
          <w:rFonts w:ascii="Times New Roman" w:hAnsi="Times New Roman" w:cs="Times New Roman"/>
        </w:rPr>
        <w:t> –</w:t>
      </w:r>
      <w:r w:rsidR="00375704" w:rsidRPr="00375704">
        <w:rPr>
          <w:rFonts w:ascii="Times New Roman" w:hAnsi="Times New Roman" w:cs="Times New Roman"/>
        </w:rPr>
        <w:t>La circulación de vehículos especiales o conjuntos de vehículos que superen las dimensiones o pesos máximos establecidas en este Acuerdo, solamente se admitirá la circulación mediante el otorgamiento previo de autorizaciones especiales expedidas por las autoridades competentes en base a las normas establecidas en el país transitado.</w:t>
      </w:r>
    </w:p>
    <w:p w14:paraId="164D1F6E" w14:textId="3C1F2F20" w:rsidR="00375704" w:rsidRDefault="00DD4A63" w:rsidP="00DD4A63">
      <w:pPr>
        <w:jc w:val="both"/>
        <w:rPr>
          <w:rFonts w:ascii="Times New Roman" w:hAnsi="Times New Roman" w:cs="Times New Roman"/>
        </w:rPr>
      </w:pPr>
      <w:r w:rsidRPr="00DD4A63">
        <w:rPr>
          <w:rFonts w:ascii="Times New Roman" w:hAnsi="Times New Roman" w:cs="Times New Roman"/>
          <w:b/>
          <w:bCs/>
        </w:rPr>
        <w:lastRenderedPageBreak/>
        <w:t>Artículo 3º</w:t>
      </w:r>
      <w:r w:rsidRPr="00DD4A63">
        <w:rPr>
          <w:rFonts w:ascii="Times New Roman" w:hAnsi="Times New Roman" w:cs="Times New Roman"/>
        </w:rPr>
        <w:t xml:space="preserve"> – </w:t>
      </w:r>
      <w:r w:rsidR="00375704" w:rsidRPr="00375704">
        <w:rPr>
          <w:rFonts w:ascii="Times New Roman" w:hAnsi="Times New Roman" w:cs="Times New Roman"/>
        </w:rPr>
        <w:t>La presente norma no obstaculizará la aplicación de las disposiciones vigentes en cada Estado Parte en materia de circulación por carretera que limiten las dimensiones de los vehículos en determinadas rutas o construcciones de ingeniería civil.</w:t>
      </w:r>
    </w:p>
    <w:p w14:paraId="6D678B26" w14:textId="4B9A8BC6" w:rsidR="00375704" w:rsidRDefault="00DD4A63" w:rsidP="00DD4A63">
      <w:pPr>
        <w:jc w:val="both"/>
        <w:rPr>
          <w:rFonts w:ascii="Times New Roman" w:hAnsi="Times New Roman" w:cs="Times New Roman"/>
        </w:rPr>
      </w:pPr>
      <w:r w:rsidRPr="00DD4A63">
        <w:rPr>
          <w:rFonts w:ascii="Times New Roman" w:hAnsi="Times New Roman" w:cs="Times New Roman"/>
          <w:b/>
          <w:bCs/>
        </w:rPr>
        <w:t>Artículo 4º</w:t>
      </w:r>
      <w:r w:rsidRPr="00DD4A63">
        <w:rPr>
          <w:rFonts w:ascii="Times New Roman" w:hAnsi="Times New Roman" w:cs="Times New Roman"/>
        </w:rPr>
        <w:t xml:space="preserve"> – </w:t>
      </w:r>
      <w:r w:rsidR="00375704" w:rsidRPr="00375704">
        <w:rPr>
          <w:rFonts w:ascii="Times New Roman" w:hAnsi="Times New Roman" w:cs="Times New Roman"/>
        </w:rPr>
        <w:t>Hasta que sea armonizado un procedimiento de pesaje en el ámbito del MERCOSUR, regirá la norma vigente en el país transitado, para las tolerancias en la medición de la carga por eje y total del vehículo o del conjunto de vehículos, pudiendo aplicarse la reciprocidad entre los países, o también la que se acuerde bilateral o multilateralmente.</w:t>
      </w:r>
    </w:p>
    <w:p w14:paraId="3C5F99AB" w14:textId="77777777" w:rsidR="00375704" w:rsidRDefault="00375704" w:rsidP="00DD4A63">
      <w:pPr>
        <w:jc w:val="both"/>
        <w:rPr>
          <w:rFonts w:ascii="Times New Roman" w:hAnsi="Times New Roman" w:cs="Times New Roman"/>
        </w:rPr>
      </w:pPr>
    </w:p>
    <w:p w14:paraId="6E6479BD" w14:textId="77777777" w:rsidR="00DD4A63" w:rsidRDefault="00DD4A63" w:rsidP="00DD4A63">
      <w:pPr>
        <w:jc w:val="both"/>
        <w:rPr>
          <w:rFonts w:ascii="Times New Roman" w:hAnsi="Times New Roman" w:cs="Times New Roman"/>
        </w:rPr>
      </w:pPr>
      <w:r w:rsidRPr="00DD4A63">
        <w:rPr>
          <w:rFonts w:ascii="Times New Roman" w:hAnsi="Times New Roman" w:cs="Times New Roman"/>
          <w:b/>
          <w:bCs/>
        </w:rPr>
        <w:t>Artículo 5º</w:t>
      </w:r>
      <w:r w:rsidRPr="00DD4A63">
        <w:rPr>
          <w:rFonts w:ascii="Times New Roman" w:hAnsi="Times New Roman" w:cs="Times New Roman"/>
        </w:rPr>
        <w:t> – Las dimensiones máximas permitidas para la circulación de vehículos de transporte de carga y de pasajeros en el ámbito del MERCOSUR son:</w:t>
      </w:r>
    </w:p>
    <w:p w14:paraId="29B1D5D9" w14:textId="12FF8746" w:rsidR="00375704" w:rsidRDefault="00375704" w:rsidP="00DD4A63">
      <w:pPr>
        <w:jc w:val="both"/>
        <w:rPr>
          <w:rFonts w:ascii="Times New Roman" w:hAnsi="Times New Roman" w:cs="Times New Roman"/>
        </w:rPr>
      </w:pPr>
      <w:r>
        <w:rPr>
          <w:rFonts w:ascii="Times New Roman" w:hAnsi="Times New Roman" w:cs="Times New Roman"/>
          <w:noProof/>
        </w:rPr>
        <w:drawing>
          <wp:anchor distT="0" distB="0" distL="114300" distR="114300" simplePos="0" relativeHeight="251659264" behindDoc="0" locked="0" layoutInCell="1" allowOverlap="1" wp14:anchorId="226A26C7" wp14:editId="5C57D24F">
            <wp:simplePos x="0" y="0"/>
            <wp:positionH relativeFrom="margin">
              <wp:posOffset>-38100</wp:posOffset>
            </wp:positionH>
            <wp:positionV relativeFrom="paragraph">
              <wp:posOffset>294005</wp:posOffset>
            </wp:positionV>
            <wp:extent cx="5090160" cy="1958340"/>
            <wp:effectExtent l="0" t="0" r="0" b="3810"/>
            <wp:wrapSquare wrapText="bothSides"/>
            <wp:docPr id="115293718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090160" cy="1958340"/>
                    </a:xfrm>
                    <a:prstGeom prst="rect">
                      <a:avLst/>
                    </a:prstGeom>
                    <a:noFill/>
                    <a:ln>
                      <a:noFill/>
                    </a:ln>
                  </pic:spPr>
                </pic:pic>
              </a:graphicData>
            </a:graphic>
            <wp14:sizeRelH relativeFrom="margin">
              <wp14:pctWidth>0</wp14:pctWidth>
            </wp14:sizeRelH>
          </wp:anchor>
        </w:drawing>
      </w:r>
    </w:p>
    <w:p w14:paraId="26FB8C3B" w14:textId="36793744" w:rsidR="00375704" w:rsidRDefault="00375704" w:rsidP="00DD4A63">
      <w:pPr>
        <w:jc w:val="both"/>
        <w:rPr>
          <w:rFonts w:ascii="Times New Roman" w:hAnsi="Times New Roman" w:cs="Times New Roman"/>
        </w:rPr>
      </w:pPr>
    </w:p>
    <w:p w14:paraId="6B52FF31" w14:textId="14B84763" w:rsidR="00375704" w:rsidRDefault="00375704" w:rsidP="00DD4A63">
      <w:pPr>
        <w:jc w:val="both"/>
        <w:rPr>
          <w:rFonts w:ascii="Times New Roman" w:hAnsi="Times New Roman" w:cs="Times New Roman"/>
        </w:rPr>
      </w:pPr>
    </w:p>
    <w:p w14:paraId="407E37AA" w14:textId="77777777" w:rsidR="00375704" w:rsidRDefault="00375704" w:rsidP="00DD4A63">
      <w:pPr>
        <w:jc w:val="both"/>
        <w:rPr>
          <w:rFonts w:ascii="Times New Roman" w:hAnsi="Times New Roman" w:cs="Times New Roman"/>
        </w:rPr>
      </w:pPr>
    </w:p>
    <w:p w14:paraId="02A03A8F" w14:textId="77777777" w:rsidR="00375704" w:rsidRDefault="00375704" w:rsidP="00DD4A63">
      <w:pPr>
        <w:jc w:val="both"/>
        <w:rPr>
          <w:rFonts w:ascii="Times New Roman" w:hAnsi="Times New Roman" w:cs="Times New Roman"/>
        </w:rPr>
      </w:pPr>
    </w:p>
    <w:p w14:paraId="2A4A7447" w14:textId="77777777" w:rsidR="00375704" w:rsidRDefault="00375704" w:rsidP="00DD4A63">
      <w:pPr>
        <w:jc w:val="both"/>
        <w:rPr>
          <w:rFonts w:ascii="Times New Roman" w:hAnsi="Times New Roman" w:cs="Times New Roman"/>
        </w:rPr>
      </w:pPr>
    </w:p>
    <w:p w14:paraId="274ED5C9" w14:textId="6C68F705" w:rsidR="00375704" w:rsidRDefault="00375704" w:rsidP="00DD4A63">
      <w:pPr>
        <w:jc w:val="both"/>
        <w:rPr>
          <w:rFonts w:ascii="Times New Roman" w:hAnsi="Times New Roman" w:cs="Times New Roman"/>
        </w:rPr>
      </w:pPr>
    </w:p>
    <w:p w14:paraId="512B535C" w14:textId="6FF5396E" w:rsidR="00375704" w:rsidRDefault="00375704" w:rsidP="00DD4A63">
      <w:pPr>
        <w:jc w:val="both"/>
        <w:rPr>
          <w:rFonts w:ascii="Times New Roman" w:hAnsi="Times New Roman" w:cs="Times New Roman"/>
        </w:rPr>
      </w:pPr>
      <w:r>
        <w:rPr>
          <w:rFonts w:ascii="Times New Roman" w:hAnsi="Times New Roman" w:cs="Times New Roman"/>
          <w:noProof/>
        </w:rPr>
        <w:drawing>
          <wp:anchor distT="0" distB="0" distL="114300" distR="114300" simplePos="0" relativeHeight="251658240" behindDoc="0" locked="0" layoutInCell="1" allowOverlap="1" wp14:anchorId="7FEBB536" wp14:editId="1D0B3599">
            <wp:simplePos x="0" y="0"/>
            <wp:positionH relativeFrom="margin">
              <wp:align>left</wp:align>
            </wp:positionH>
            <wp:positionV relativeFrom="paragraph">
              <wp:posOffset>13335</wp:posOffset>
            </wp:positionV>
            <wp:extent cx="4899660" cy="2499360"/>
            <wp:effectExtent l="0" t="0" r="0" b="0"/>
            <wp:wrapThrough wrapText="bothSides">
              <wp:wrapPolygon edited="0">
                <wp:start x="0" y="0"/>
                <wp:lineTo x="0" y="21402"/>
                <wp:lineTo x="21499" y="21402"/>
                <wp:lineTo x="21499" y="0"/>
                <wp:lineTo x="0" y="0"/>
              </wp:wrapPolygon>
            </wp:wrapThrough>
            <wp:docPr id="46441778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99660" cy="2499360"/>
                    </a:xfrm>
                    <a:prstGeom prst="rect">
                      <a:avLst/>
                    </a:prstGeom>
                    <a:noFill/>
                    <a:ln>
                      <a:noFill/>
                    </a:ln>
                  </pic:spPr>
                </pic:pic>
              </a:graphicData>
            </a:graphic>
            <wp14:sizeRelH relativeFrom="margin">
              <wp14:pctWidth>0</wp14:pctWidth>
            </wp14:sizeRelH>
          </wp:anchor>
        </w:drawing>
      </w:r>
    </w:p>
    <w:p w14:paraId="0B330A2C" w14:textId="77777777" w:rsidR="00375704" w:rsidRDefault="00375704" w:rsidP="00DD4A63">
      <w:pPr>
        <w:jc w:val="both"/>
        <w:rPr>
          <w:rFonts w:ascii="Times New Roman" w:hAnsi="Times New Roman" w:cs="Times New Roman"/>
        </w:rPr>
      </w:pPr>
    </w:p>
    <w:p w14:paraId="3E3613D9" w14:textId="77777777" w:rsidR="00375704" w:rsidRDefault="00375704" w:rsidP="00DD4A63">
      <w:pPr>
        <w:jc w:val="both"/>
        <w:rPr>
          <w:rFonts w:ascii="Times New Roman" w:hAnsi="Times New Roman" w:cs="Times New Roman"/>
        </w:rPr>
      </w:pPr>
    </w:p>
    <w:p w14:paraId="2992D7D4" w14:textId="77777777" w:rsidR="00375704" w:rsidRDefault="00375704" w:rsidP="00DD4A63">
      <w:pPr>
        <w:jc w:val="both"/>
        <w:rPr>
          <w:rFonts w:ascii="Times New Roman" w:hAnsi="Times New Roman" w:cs="Times New Roman"/>
        </w:rPr>
      </w:pPr>
    </w:p>
    <w:p w14:paraId="0D86F322" w14:textId="77777777" w:rsidR="00375704" w:rsidRDefault="00375704" w:rsidP="00DD4A63">
      <w:pPr>
        <w:jc w:val="both"/>
        <w:rPr>
          <w:rFonts w:ascii="Times New Roman" w:hAnsi="Times New Roman" w:cs="Times New Roman"/>
        </w:rPr>
      </w:pPr>
    </w:p>
    <w:p w14:paraId="5F94EDF7" w14:textId="77777777" w:rsidR="00375704" w:rsidRDefault="00375704" w:rsidP="00DD4A63">
      <w:pPr>
        <w:jc w:val="both"/>
        <w:rPr>
          <w:rFonts w:ascii="Times New Roman" w:hAnsi="Times New Roman" w:cs="Times New Roman"/>
        </w:rPr>
      </w:pPr>
    </w:p>
    <w:p w14:paraId="36FA796F" w14:textId="77777777" w:rsidR="00375704" w:rsidRDefault="00375704" w:rsidP="00DD4A63">
      <w:pPr>
        <w:jc w:val="both"/>
        <w:rPr>
          <w:rFonts w:ascii="Times New Roman" w:hAnsi="Times New Roman" w:cs="Times New Roman"/>
        </w:rPr>
      </w:pPr>
    </w:p>
    <w:p w14:paraId="303540B1" w14:textId="77777777" w:rsidR="00375704" w:rsidRDefault="00375704" w:rsidP="00DD4A63">
      <w:pPr>
        <w:jc w:val="both"/>
        <w:rPr>
          <w:rFonts w:ascii="Times New Roman" w:hAnsi="Times New Roman" w:cs="Times New Roman"/>
        </w:rPr>
      </w:pPr>
    </w:p>
    <w:p w14:paraId="2409D635" w14:textId="77777777" w:rsidR="00375704" w:rsidRPr="00DD4A63" w:rsidRDefault="00375704" w:rsidP="00DD4A63">
      <w:pPr>
        <w:jc w:val="both"/>
        <w:rPr>
          <w:rFonts w:ascii="Times New Roman" w:hAnsi="Times New Roman" w:cs="Times New Roman"/>
        </w:rPr>
      </w:pPr>
    </w:p>
    <w:p w14:paraId="03705138" w14:textId="77777777" w:rsidR="00DD4A63" w:rsidRDefault="00DD4A63" w:rsidP="00DD4A63">
      <w:pPr>
        <w:jc w:val="both"/>
        <w:rPr>
          <w:rFonts w:ascii="Times New Roman" w:hAnsi="Times New Roman" w:cs="Times New Roman"/>
        </w:rPr>
      </w:pPr>
      <w:r w:rsidRPr="00DD4A63">
        <w:rPr>
          <w:rFonts w:ascii="Times New Roman" w:hAnsi="Times New Roman" w:cs="Times New Roman"/>
        </w:rPr>
        <w:t>*CTV: remolques para transporte de vehículos; carretas; tableros; bajos y otros tipos de implementos utilizados en el transporte de vehículos, maquinarias en general, chasis de ómnibus, camiones, equipos industriales, máquinas agrícolas.</w:t>
      </w:r>
    </w:p>
    <w:p w14:paraId="3A141DBC" w14:textId="77777777" w:rsidR="00375704" w:rsidRPr="00DD4A63" w:rsidRDefault="00375704" w:rsidP="00DD4A63">
      <w:pPr>
        <w:jc w:val="both"/>
        <w:rPr>
          <w:rFonts w:ascii="Times New Roman" w:hAnsi="Times New Roman" w:cs="Times New Roman"/>
        </w:rPr>
      </w:pPr>
    </w:p>
    <w:p w14:paraId="06E890BD" w14:textId="0C74920E" w:rsidR="00DD4A63" w:rsidRPr="00DD4A63" w:rsidRDefault="00DD4A63" w:rsidP="00DD4A63">
      <w:pPr>
        <w:jc w:val="both"/>
        <w:rPr>
          <w:rFonts w:ascii="Times New Roman" w:hAnsi="Times New Roman" w:cs="Times New Roman"/>
        </w:rPr>
      </w:pPr>
      <w:r w:rsidRPr="00DD4A63">
        <w:rPr>
          <w:rFonts w:ascii="Times New Roman" w:hAnsi="Times New Roman" w:cs="Times New Roman"/>
          <w:b/>
          <w:bCs/>
        </w:rPr>
        <w:lastRenderedPageBreak/>
        <w:t>Artículo 6º</w:t>
      </w:r>
      <w:r w:rsidRPr="00DD4A63">
        <w:rPr>
          <w:rFonts w:ascii="Times New Roman" w:hAnsi="Times New Roman" w:cs="Times New Roman"/>
        </w:rPr>
        <w:t xml:space="preserve"> – </w:t>
      </w:r>
      <w:r w:rsidR="000172F1" w:rsidRPr="000172F1">
        <w:rPr>
          <w:rFonts w:ascii="Times New Roman" w:hAnsi="Times New Roman" w:cs="Times New Roman"/>
        </w:rPr>
        <w:t>Las configuraciones de tracto camión con semirremolques comprendida en la posición N°4 de la Tabla 1, con un largo máximo de 19,30 m, (distancia comprendida entre el extremo delantero de la cabina y la parte trasera más saliente del equipo), en su construcción deberá cumplir simultáneamente con las siguientes dimensiones:</w:t>
      </w:r>
    </w:p>
    <w:p w14:paraId="23054966" w14:textId="77777777" w:rsidR="00DD4A63" w:rsidRPr="00DD4A63" w:rsidRDefault="00DD4A63" w:rsidP="00DD4A63">
      <w:pPr>
        <w:numPr>
          <w:ilvl w:val="0"/>
          <w:numId w:val="1"/>
        </w:numPr>
        <w:jc w:val="both"/>
        <w:rPr>
          <w:rFonts w:ascii="Times New Roman" w:hAnsi="Times New Roman" w:cs="Times New Roman"/>
        </w:rPr>
      </w:pPr>
      <w:r w:rsidRPr="00DD4A63">
        <w:rPr>
          <w:rFonts w:ascii="Times New Roman" w:hAnsi="Times New Roman" w:cs="Times New Roman"/>
        </w:rPr>
        <w:t>Longitud máxima de la configuración: 19,30 m</w:t>
      </w:r>
    </w:p>
    <w:p w14:paraId="1CDDA460" w14:textId="77777777" w:rsidR="00DD4A63" w:rsidRDefault="00DD4A63" w:rsidP="00DD4A63">
      <w:pPr>
        <w:numPr>
          <w:ilvl w:val="0"/>
          <w:numId w:val="1"/>
        </w:numPr>
        <w:jc w:val="both"/>
        <w:rPr>
          <w:rFonts w:ascii="Times New Roman" w:hAnsi="Times New Roman" w:cs="Times New Roman"/>
        </w:rPr>
      </w:pPr>
      <w:r w:rsidRPr="00DD4A63">
        <w:rPr>
          <w:rFonts w:ascii="Times New Roman" w:hAnsi="Times New Roman" w:cs="Times New Roman"/>
        </w:rPr>
        <w:t>Longitud máxima de la plataforma de carga: 15,60 m</w:t>
      </w:r>
    </w:p>
    <w:p w14:paraId="02749152" w14:textId="77777777" w:rsidR="000172F1" w:rsidRDefault="000172F1" w:rsidP="00DD4A63">
      <w:pPr>
        <w:jc w:val="both"/>
        <w:rPr>
          <w:rFonts w:ascii="Times New Roman" w:hAnsi="Times New Roman" w:cs="Times New Roman"/>
          <w:b/>
          <w:bCs/>
        </w:rPr>
      </w:pPr>
    </w:p>
    <w:p w14:paraId="6865B51C" w14:textId="744E7F3F" w:rsidR="000172F1" w:rsidRDefault="00DD4A63" w:rsidP="00DD4A63">
      <w:pPr>
        <w:jc w:val="both"/>
        <w:rPr>
          <w:rFonts w:ascii="Times New Roman" w:hAnsi="Times New Roman" w:cs="Times New Roman"/>
        </w:rPr>
      </w:pPr>
      <w:r w:rsidRPr="00DD4A63">
        <w:rPr>
          <w:rFonts w:ascii="Times New Roman" w:hAnsi="Times New Roman" w:cs="Times New Roman"/>
          <w:b/>
          <w:bCs/>
        </w:rPr>
        <w:t>Artículo 7º</w:t>
      </w:r>
      <w:r w:rsidRPr="00DD4A63">
        <w:rPr>
          <w:rFonts w:ascii="Times New Roman" w:hAnsi="Times New Roman" w:cs="Times New Roman"/>
        </w:rPr>
        <w:t xml:space="preserve"> – </w:t>
      </w:r>
      <w:r w:rsidR="000172F1" w:rsidRPr="000172F1">
        <w:rPr>
          <w:rFonts w:ascii="Times New Roman" w:hAnsi="Times New Roman" w:cs="Times New Roman"/>
        </w:rPr>
        <w:t>Las combinaciones de transporte de vehículos – CTV comprendida en la posición N°6 de la Tabla 1, con un largo máximo de 23,00 m (distancia comprendida entre el extremo delantero de la cabina y la parte trasera más saliente del equipo), en su construcción deberá cumplir simultáneamente con las siguientes dimensiones:</w:t>
      </w:r>
    </w:p>
    <w:p w14:paraId="22BEFFD1" w14:textId="77777777" w:rsidR="00DD4A63" w:rsidRPr="00DD4A63" w:rsidRDefault="00DD4A63" w:rsidP="00DD4A63">
      <w:pPr>
        <w:numPr>
          <w:ilvl w:val="0"/>
          <w:numId w:val="2"/>
        </w:numPr>
        <w:jc w:val="both"/>
        <w:rPr>
          <w:rFonts w:ascii="Times New Roman" w:hAnsi="Times New Roman" w:cs="Times New Roman"/>
        </w:rPr>
      </w:pPr>
      <w:r w:rsidRPr="00DD4A63">
        <w:rPr>
          <w:rFonts w:ascii="Times New Roman" w:hAnsi="Times New Roman" w:cs="Times New Roman"/>
        </w:rPr>
        <w:t>Longitud máxima de la configuración: 23,00 m</w:t>
      </w:r>
    </w:p>
    <w:p w14:paraId="1468B1B2" w14:textId="77777777" w:rsidR="00DD4A63" w:rsidRPr="00DD4A63" w:rsidRDefault="00DD4A63" w:rsidP="00DD4A63">
      <w:pPr>
        <w:numPr>
          <w:ilvl w:val="0"/>
          <w:numId w:val="2"/>
        </w:numPr>
        <w:jc w:val="both"/>
        <w:rPr>
          <w:rFonts w:ascii="Times New Roman" w:hAnsi="Times New Roman" w:cs="Times New Roman"/>
        </w:rPr>
      </w:pPr>
      <w:r w:rsidRPr="00DD4A63">
        <w:rPr>
          <w:rFonts w:ascii="Times New Roman" w:hAnsi="Times New Roman" w:cs="Times New Roman"/>
        </w:rPr>
        <w:t>Longitud máxima de la plataforma de carga: 19,65 m</w:t>
      </w:r>
    </w:p>
    <w:p w14:paraId="54B33FB8" w14:textId="77777777" w:rsidR="000172F1" w:rsidRDefault="000172F1" w:rsidP="00DD4A63">
      <w:pPr>
        <w:jc w:val="both"/>
        <w:rPr>
          <w:rFonts w:ascii="Times New Roman" w:hAnsi="Times New Roman" w:cs="Times New Roman"/>
          <w:b/>
          <w:bCs/>
        </w:rPr>
      </w:pPr>
    </w:p>
    <w:p w14:paraId="54426E86" w14:textId="4F091BC2" w:rsidR="000172F1" w:rsidRDefault="00DD4A63" w:rsidP="00DD4A63">
      <w:pPr>
        <w:jc w:val="both"/>
        <w:rPr>
          <w:rFonts w:ascii="Times New Roman" w:hAnsi="Times New Roman" w:cs="Times New Roman"/>
        </w:rPr>
      </w:pPr>
      <w:r w:rsidRPr="00DD4A63">
        <w:rPr>
          <w:rFonts w:ascii="Times New Roman" w:hAnsi="Times New Roman" w:cs="Times New Roman"/>
          <w:b/>
          <w:bCs/>
        </w:rPr>
        <w:t>Artículo 8º</w:t>
      </w:r>
      <w:r w:rsidRPr="00DD4A63">
        <w:rPr>
          <w:rFonts w:ascii="Times New Roman" w:hAnsi="Times New Roman" w:cs="Times New Roman"/>
        </w:rPr>
        <w:t xml:space="preserve"> – </w:t>
      </w:r>
      <w:r w:rsidR="000172F1" w:rsidRPr="000172F1">
        <w:rPr>
          <w:rFonts w:ascii="Times New Roman" w:hAnsi="Times New Roman" w:cs="Times New Roman"/>
        </w:rPr>
        <w:t>Las infracciones a las disposiciones establecidas en el presente Acuerdo son de carácter administrativo y serán sancionadas de acuerdo con las normas nacionales vigentes, sin perjuicio de las responsabilidades civiles y penales derivadas del vehículo o conjunto de vehículos.</w:t>
      </w:r>
    </w:p>
    <w:p w14:paraId="6E3B721C" w14:textId="05812AA5" w:rsidR="000172F1" w:rsidRDefault="000172F1" w:rsidP="00DD4A63">
      <w:pPr>
        <w:jc w:val="both"/>
        <w:rPr>
          <w:rFonts w:ascii="Times New Roman" w:hAnsi="Times New Roman" w:cs="Times New Roman"/>
        </w:rPr>
      </w:pPr>
      <w:r w:rsidRPr="000172F1">
        <w:rPr>
          <w:rFonts w:ascii="Times New Roman" w:hAnsi="Times New Roman" w:cs="Times New Roman"/>
        </w:rPr>
        <w:t xml:space="preserve">Artículo </w:t>
      </w:r>
      <w:r>
        <w:rPr>
          <w:rFonts w:ascii="Times New Roman" w:hAnsi="Times New Roman" w:cs="Times New Roman"/>
        </w:rPr>
        <w:t>9º</w:t>
      </w:r>
      <w:r w:rsidRPr="000172F1">
        <w:rPr>
          <w:rFonts w:ascii="Times New Roman" w:hAnsi="Times New Roman" w:cs="Times New Roman"/>
        </w:rPr>
        <w:t xml:space="preserve"> – En todo lo no modificado por el presente acuerdo, se mantendrá vigente lo dispuesto en el Acuerdo de Alcance Parcial N° 17 sobre Pesos y Dimensiones de Vehículos de Transporte por Carretera de Pasajeros y de Cargas.</w:t>
      </w:r>
    </w:p>
    <w:p w14:paraId="7C3DD960" w14:textId="77777777" w:rsidR="000172F1" w:rsidRDefault="000172F1" w:rsidP="00DD4A63">
      <w:pPr>
        <w:jc w:val="both"/>
        <w:rPr>
          <w:rFonts w:ascii="Times New Roman" w:hAnsi="Times New Roman" w:cs="Times New Roman"/>
        </w:rPr>
      </w:pPr>
    </w:p>
    <w:p w14:paraId="209E8B03" w14:textId="6BC93E12" w:rsidR="000172F1" w:rsidRPr="00DD4A63" w:rsidRDefault="000172F1" w:rsidP="00DD4A63">
      <w:pPr>
        <w:jc w:val="both"/>
        <w:rPr>
          <w:rFonts w:ascii="Times New Roman" w:hAnsi="Times New Roman" w:cs="Times New Roman"/>
        </w:rPr>
      </w:pPr>
      <w:r w:rsidRPr="000172F1">
        <w:rPr>
          <w:rFonts w:ascii="Times New Roman" w:hAnsi="Times New Roman" w:cs="Times New Roman"/>
        </w:rPr>
        <w:t xml:space="preserve"> </w:t>
      </w:r>
    </w:p>
    <w:sectPr w:rsidR="000172F1" w:rsidRPr="00DD4A6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7644D"/>
    <w:multiLevelType w:val="multilevel"/>
    <w:tmpl w:val="79622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A0978CE"/>
    <w:multiLevelType w:val="multilevel"/>
    <w:tmpl w:val="A4CCB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89506182">
    <w:abstractNumId w:val="1"/>
  </w:num>
  <w:num w:numId="2" w16cid:durableId="1565480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A63"/>
    <w:rsid w:val="000172F1"/>
    <w:rsid w:val="0036553D"/>
    <w:rsid w:val="00375704"/>
    <w:rsid w:val="005249B6"/>
    <w:rsid w:val="00726A8F"/>
    <w:rsid w:val="00DD4A6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4AA9A"/>
  <w15:chartTrackingRefBased/>
  <w15:docId w15:val="{F5ACF27E-88E8-4EEB-866A-C0AEE7E92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DD4A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DD4A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DD4A6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DD4A6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DD4A6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DD4A6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DD4A6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DD4A6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DD4A63"/>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D4A63"/>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DD4A63"/>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DD4A63"/>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DD4A63"/>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DD4A63"/>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DD4A63"/>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DD4A63"/>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DD4A63"/>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DD4A63"/>
    <w:rPr>
      <w:rFonts w:eastAsiaTheme="majorEastAsia" w:cstheme="majorBidi"/>
      <w:color w:val="272727" w:themeColor="text1" w:themeTint="D8"/>
    </w:rPr>
  </w:style>
  <w:style w:type="paragraph" w:styleId="Ttulo">
    <w:name w:val="Title"/>
    <w:basedOn w:val="Normal"/>
    <w:next w:val="Normal"/>
    <w:link w:val="TtuloChar"/>
    <w:uiPriority w:val="10"/>
    <w:qFormat/>
    <w:rsid w:val="00DD4A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DD4A6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DD4A63"/>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DD4A63"/>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DD4A63"/>
    <w:pPr>
      <w:spacing w:before="160"/>
      <w:jc w:val="center"/>
    </w:pPr>
    <w:rPr>
      <w:i/>
      <w:iCs/>
      <w:color w:val="404040" w:themeColor="text1" w:themeTint="BF"/>
    </w:rPr>
  </w:style>
  <w:style w:type="character" w:customStyle="1" w:styleId="CitaoChar">
    <w:name w:val="Citação Char"/>
    <w:basedOn w:val="Fontepargpadro"/>
    <w:link w:val="Citao"/>
    <w:uiPriority w:val="29"/>
    <w:rsid w:val="00DD4A63"/>
    <w:rPr>
      <w:i/>
      <w:iCs/>
      <w:color w:val="404040" w:themeColor="text1" w:themeTint="BF"/>
    </w:rPr>
  </w:style>
  <w:style w:type="paragraph" w:styleId="PargrafodaLista">
    <w:name w:val="List Paragraph"/>
    <w:basedOn w:val="Normal"/>
    <w:uiPriority w:val="34"/>
    <w:qFormat/>
    <w:rsid w:val="00DD4A63"/>
    <w:pPr>
      <w:ind w:left="720"/>
      <w:contextualSpacing/>
    </w:pPr>
  </w:style>
  <w:style w:type="character" w:styleId="nfaseIntensa">
    <w:name w:val="Intense Emphasis"/>
    <w:basedOn w:val="Fontepargpadro"/>
    <w:uiPriority w:val="21"/>
    <w:qFormat/>
    <w:rsid w:val="00DD4A63"/>
    <w:rPr>
      <w:i/>
      <w:iCs/>
      <w:color w:val="0F4761" w:themeColor="accent1" w:themeShade="BF"/>
    </w:rPr>
  </w:style>
  <w:style w:type="paragraph" w:styleId="CitaoIntensa">
    <w:name w:val="Intense Quote"/>
    <w:basedOn w:val="Normal"/>
    <w:next w:val="Normal"/>
    <w:link w:val="CitaoIntensaChar"/>
    <w:uiPriority w:val="30"/>
    <w:qFormat/>
    <w:rsid w:val="00DD4A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DD4A63"/>
    <w:rPr>
      <w:i/>
      <w:iCs/>
      <w:color w:val="0F4761" w:themeColor="accent1" w:themeShade="BF"/>
    </w:rPr>
  </w:style>
  <w:style w:type="character" w:styleId="RefernciaIntensa">
    <w:name w:val="Intense Reference"/>
    <w:basedOn w:val="Fontepargpadro"/>
    <w:uiPriority w:val="32"/>
    <w:qFormat/>
    <w:rsid w:val="00DD4A6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FFFFFF"/>
      </a:dk1>
      <a:lt1>
        <a:sysClr val="window" lastClr="202020"/>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700</Words>
  <Characters>3786</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André Dolci Gonçalves Maia</dc:creator>
  <cp:keywords/>
  <dc:description/>
  <cp:lastModifiedBy>André Dolci Gonçalves Maia</cp:lastModifiedBy>
  <cp:revision>7</cp:revision>
  <dcterms:created xsi:type="dcterms:W3CDTF">2026-06-17T00:58:00Z</dcterms:created>
  <dcterms:modified xsi:type="dcterms:W3CDTF">2026-06-17T01:17:00Z</dcterms:modified>
</cp:coreProperties>
</file>